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3.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Инструкция по формам ввода параклинических услуг Нижний Новгород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main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 xml:space="preserve">Exported on </w:t>
      </w:r>
      <w:r w:rsidRPr="00852D83">
        <w:t>Oct 05, 2021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Параклиника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Добавление параклинической услуги через поточный ввод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Добавление параклинической услуги через ТАП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Лечебные, диагностические услуги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D841F2" w:rsidRPr="004B5FCD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14:paraId="3F67A809" w14:textId="0E32A43E">
      <w:bookmarkStart w:id="1" w:name="scroll-bookmark-1"/>
      <w:bookmarkEnd w:id="1"/>
    </w:p>
    <w:p>
      <w:pPr>
        <w:numPr>
          <w:ilvl w:val="0"/>
          <w:numId w:val="33"/>
        </w:numPr>
      </w:pPr>
      <w:hyperlink w:anchor="scroll-bookmark-2" w:history="1">
        <w:r>
          <w:rPr>
            <w:rStyle w:val="Hyperlink"/>
          </w:rPr>
          <w:t>Параклиника</w:t>
        </w:r>
      </w:hyperlink>
    </w:p>
    <w:p>
      <w:pPr>
        <w:numPr>
          <w:ilvl w:val="0"/>
          <w:numId w:val="33"/>
        </w:numPr>
      </w:pPr>
      <w:hyperlink w:anchor="scroll-bookmark-3" w:history="1">
        <w:r>
          <w:rPr>
            <w:rStyle w:val="Hyperlink"/>
          </w:rPr>
          <w:t>Добавление параклинической услуги через поточный ввод</w:t>
        </w:r>
      </w:hyperlink>
    </w:p>
    <w:p>
      <w:pPr>
        <w:numPr>
          <w:ilvl w:val="0"/>
          <w:numId w:val="33"/>
        </w:numPr>
      </w:pPr>
      <w:hyperlink w:anchor="scroll-bookmark-4" w:history="1">
        <w:r>
          <w:rPr>
            <w:rStyle w:val="Hyperlink"/>
          </w:rPr>
          <w:t>Добавление параклинической услуги через ТАП</w:t>
        </w:r>
      </w:hyperlink>
    </w:p>
    <w:p>
      <w:pPr>
        <w:numPr>
          <w:ilvl w:val="0"/>
          <w:numId w:val="33"/>
        </w:numPr>
      </w:pPr>
      <w:hyperlink w:anchor="scroll-bookmark-5" w:history="1">
        <w:r>
          <w:rPr>
            <w:rStyle w:val="Hyperlink"/>
          </w:rPr>
          <w:t>Лечебные, диагностические услуги</w:t>
        </w:r>
      </w:hyperlink>
    </w:p>
    <w:p>
      <w:pPr>
        <w:pStyle w:val="Heading1"/>
      </w:pPr>
      <w:bookmarkStart w:id="2" w:name="scroll-bookmark-2"/>
      <w:bookmarkStart w:id="3" w:name="_Toc256000000"/>
      <w:r>
        <w:t>Параклиника</w:t>
      </w:r>
      <w:bookmarkEnd w:id="3"/>
      <w:bookmarkEnd w:id="2"/>
    </w:p>
    <w:p>
      <w:pPr>
        <w:pStyle w:val="Heading1"/>
      </w:pPr>
      <w:bookmarkStart w:id="4" w:name="scroll-bookmark-3"/>
      <w:bookmarkStart w:id="5" w:name="_Toc256000001"/>
      <w:r>
        <w:t>Добавление параклинической услуги через поточный ввод</w:t>
      </w:r>
      <w:bookmarkEnd w:id="5"/>
      <w:bookmarkEnd w:id="4"/>
    </w:p>
    <w:p>
      <w:r>
        <w:rPr>
          <w:color w:val="172B4D"/>
        </w:rPr>
        <w:t xml:space="preserve">Для ввода информации параклинических услуг (см. подробную инструкцию </w:t>
      </w:r>
      <w:hyperlink r:id="rId11" w:history="1">
        <w:r>
          <w:rPr>
            <w:rStyle w:val="Hyperlink"/>
            <w:color w:val="172B4D"/>
          </w:rPr>
          <w:t>Параклиническая услуга):</w:t>
        </w:r>
      </w:hyperlink>
    </w:p>
    <w:p>
      <w:pPr>
        <w:numPr>
          <w:ilvl w:val="0"/>
          <w:numId w:val="34"/>
        </w:numPr>
      </w:pPr>
      <w:r>
        <w:rPr>
          <w:color w:val="172B4D"/>
        </w:rPr>
        <w:t>Перейдите в АРМ врача поликлиники</w:t>
      </w:r>
    </w:p>
    <w:p>
      <w:pPr>
        <w:numPr>
          <w:ilvl w:val="0"/>
          <w:numId w:val="34"/>
        </w:numPr>
      </w:pPr>
      <w:r>
        <w:rPr>
          <w:color w:val="172B4D"/>
        </w:rPr>
        <w:t>Нажмите "Параклиника" → "Выполнение параклинической услуги: Поточный ввод"</w:t>
      </w:r>
      <w:r>
        <w:rPr>
          <w:color w:val="172B4D"/>
        </w:rPr>
        <w:t xml:space="preserve"> отобразится форма "</w:t>
      </w:r>
      <w:r>
        <w:rPr>
          <w:color w:val="172B4D"/>
        </w:rPr>
        <w:t>Параклинические услуги: Поточный ввод"</w:t>
      </w:r>
      <w:r>
        <w:rPr>
          <w:color w:val="172B4D"/>
        </w:rPr>
        <w:t>.</w:t>
      </w:r>
    </w:p>
    <w:p>
      <w:pPr>
        <w:numPr>
          <w:ilvl w:val="0"/>
          <w:numId w:val="34"/>
        </w:numPr>
      </w:pPr>
      <w:r>
        <w:rPr>
          <w:color w:val="172B4D"/>
        </w:rPr>
        <w:drawing>
          <wp:inline>
            <wp:extent cx="4938395" cy="3163576"/>
            <wp:docPr id="100001" name="" descr="_scroll_external/attachments/image2021-3-30_11-34-25-c7442a23b710996480dba29f4be477e0f9e09703c5ac9ca5f84111c557223a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16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172B4D"/>
        </w:rPr>
        <w:t> Заполните поля:</w:t>
      </w:r>
    </w:p>
    <w:tbl>
      <w:tblPr>
        <w:tblStyle w:val="ScrollTableNormal"/>
        <w:tblW w:w="5000" w:type="pct"/>
        <w:tblLook w:val="0020"/>
      </w:tblPr>
      <w:tblGrid>
        <w:gridCol w:w="2483"/>
        <w:gridCol w:w="3860"/>
        <w:gridCol w:w="2134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 поля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Автоматическое заполнение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Заполнение вручную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Дата направления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0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Место выполнения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0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0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Отделение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0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Врач, выполнивший услугу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1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начала выполнения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1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Кем направлен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1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Категория услуги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1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Должно быть значение "2. Услуги ТФОМС"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Услуга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1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Вид оплаты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2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t>Нажмите кнопку "Добавить"</w:t>
      </w:r>
    </w:p>
    <w:p>
      <w:r>
        <w:t>Выберите пациента</w:t>
      </w:r>
    </w:p>
    <w:p>
      <w:r>
        <w:t>Отобразится форма "Параклиническая услуга: Добавление"</w:t>
      </w:r>
    </w:p>
    <w:p>
      <w:r>
        <w:t> </w:t>
      </w:r>
    </w:p>
    <w:p>
      <w:r>
        <w:drawing>
          <wp:inline>
            <wp:extent cx="5395595" cy="3439910"/>
            <wp:docPr id="100023" name="" descr="_scroll_external/attachments/image2021-3-30_11-40-57-503c7493a129929a5a71ec68517cfb2bf3d81cf4f46fea6678af66316ec69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43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Заполните поля:</w:t>
      </w:r>
    </w:p>
    <w:tbl>
      <w:tblPr>
        <w:tblStyle w:val="ScrollTableNormal"/>
        <w:tblW w:w="5000" w:type="pct"/>
        <w:tblLook w:val="0020"/>
      </w:tblPr>
      <w:tblGrid>
        <w:gridCol w:w="1905"/>
        <w:gridCol w:w="1969"/>
        <w:gridCol w:w="4602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 поля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Автоматическое заполнение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Заполнение вручную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Раздел "Направление"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С электронным направлением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2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 - нажать "Выбрать направление":</w:t>
            </w:r>
          </w:p>
          <w:p>
            <w:pPr>
              <w:numPr>
                <w:ilvl w:val="0"/>
                <w:numId w:val="3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Выбрать направление и поля раздела заполнятся автоматически;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- поля раздела заполняются вручную.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Кем направлен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2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Организация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2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Номер направления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3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Дата направления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3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Отделение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3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Врач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t> </w:t>
            </w:r>
            <w:r>
              <w:drawing>
                <wp:inline>
                  <wp:extent cx="152435" cy="152435"/>
                  <wp:docPr id="10003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Раздел "Место выполнения"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Место выполнения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3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Отделение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4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4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72B4D"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Врач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4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Раздел "Услуга"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начала выполнения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4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Категория услуги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4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Услуга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5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Диагноз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5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Характер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5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Вид оплаты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drawing>
                <wp:inline>
                  <wp:extent cx="152435" cy="152435"/>
                  <wp:docPr id="10005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1"/>
      </w:pPr>
      <w:bookmarkStart w:id="6" w:name="scroll-bookmark-4"/>
      <w:bookmarkStart w:id="7" w:name="_Toc256000002"/>
      <w:r>
        <w:t>Добавление параклинической услуги через ТАП</w:t>
      </w:r>
      <w:bookmarkEnd w:id="7"/>
      <w:bookmarkEnd w:id="6"/>
    </w:p>
    <w:p>
      <w:pPr>
        <w:jc w:val="left"/>
      </w:pPr>
      <w:r>
        <w:t>В случаях, когда направление на услугу и выполнение услуги не фиксировалось в Системе (например, направление на услугу и результаты оформлялись на бумажном бланке), данные об услуге необходимо зафиксировать в Системе, иначе такие услуги в реестр счетов не попадут и не будут оплачены. Для это выполните следующую последовательность действий (например, в АРМ врача поликлинике или АРМ врача стационара):</w:t>
      </w:r>
    </w:p>
    <w:p>
      <w:pPr>
        <w:numPr>
          <w:ilvl w:val="0"/>
          <w:numId w:val="36"/>
        </w:numPr>
      </w:pPr>
      <w:r>
        <w:rPr>
          <w:color w:val="000000"/>
        </w:rPr>
        <w:t>откройте ЭМК пациента;</w:t>
      </w:r>
    </w:p>
    <w:p>
      <w:pPr>
        <w:numPr>
          <w:ilvl w:val="0"/>
          <w:numId w:val="36"/>
        </w:numPr>
      </w:pPr>
      <w:r>
        <w:rPr>
          <w:color w:val="000000"/>
        </w:rPr>
        <w:t>выберите незавершенный случай АПЛ/случай стационарного лечения в дереве событий;</w:t>
      </w:r>
    </w:p>
    <w:p>
      <w:pPr>
        <w:numPr>
          <w:ilvl w:val="0"/>
          <w:numId w:val="36"/>
        </w:numPr>
      </w:pPr>
      <w:r>
        <w:rPr>
          <w:color w:val="000000"/>
        </w:rPr>
        <w:t>перейдите в раздел "УСЛУГИ";</w:t>
      </w:r>
    </w:p>
    <w:p>
      <w:pPr>
        <w:numPr>
          <w:ilvl w:val="0"/>
          <w:numId w:val="36"/>
        </w:numPr>
      </w:pPr>
      <w:r>
        <w:rPr>
          <w:color w:val="000000"/>
        </w:rPr>
        <w:t>нажмите на одну из кнопок: "Добавить" или </w:t>
      </w:r>
      <w:r>
        <w:rPr>
          <w:color w:val="000000"/>
        </w:rPr>
        <w:drawing>
          <wp:inline>
            <wp:extent cx="238125" cy="238125"/>
            <wp:docPr id="100059" name="" descr="_scroll_external/attachments/image2021-4-22_21-18-31-fcf587df248981d7a3f578b992a647d779baf19c41ca85420a0eb4794be45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(в АРМ врача поликлиники)/</w:t>
      </w:r>
      <w:r>
        <w:rPr>
          <w:color w:val="000000"/>
        </w:rPr>
        <w:drawing>
          <wp:inline>
            <wp:extent cx="228600" cy="228600"/>
            <wp:docPr id="100061" name="" descr="_scroll_external/attachments/image2021-5-19_13-50-17-1969d10a393e4ea783689af7424290dedd7fbe6f6171fa70bee6854a519f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 (в АРМ врача стационара);</w:t>
      </w:r>
    </w:p>
    <w:p>
      <w:pPr>
        <w:numPr>
          <w:ilvl w:val="0"/>
          <w:numId w:val="36"/>
        </w:numPr>
      </w:pPr>
      <w:r>
        <w:rPr>
          <w:color w:val="000000"/>
        </w:rPr>
        <w:t>выберите пункт открывшегося контекстного меню: "Добавить общую услугу" (в АРМ врача поликлиники)/ "6. Общие услуги" (в АРМ врача стационара);</w:t>
      </w:r>
    </w:p>
    <w:p>
      <w:pPr>
        <w:numPr>
          <w:ilvl w:val="0"/>
          <w:numId w:val="36"/>
        </w:numPr>
      </w:pPr>
      <w:r>
        <w:rPr>
          <w:color w:val="000000"/>
        </w:rPr>
        <w:t>заполнить поля формы "Добавить общую услугу" (в АРМ врача поликлиники)/ "Выполнение общей услуги: Добавление", представленные в таблице ниже;</w:t>
      </w:r>
    </w:p>
    <w:p>
      <w:pPr>
        <w:jc w:val="center"/>
      </w:pPr>
      <w:r>
        <w:rPr>
          <w:color w:val="000000"/>
        </w:rPr>
        <w:drawing>
          <wp:inline>
            <wp:extent cx="5395595" cy="4200856"/>
            <wp:effectExtent l="19050" t="19050" r="28575" b="19050"/>
            <wp:docPr id="100063" name="" descr="_scroll_external/attachments/image2021-4-26_11-6-4-2062f970d8331b41558b938673c5b789b2fe537f5ad3f3e1c9c27f43aa6175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2008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color w:val="000000"/>
        </w:rPr>
        <w:drawing>
          <wp:inline>
            <wp:extent cx="5395595" cy="5727039"/>
            <wp:effectExtent l="19050" t="19050" r="28575" b="19050"/>
            <wp:docPr id="100065" name="" descr="_scroll_external/attachments/image2021-5-19_13-59-13-4256af3169af517915df66a678909320403437a1354685659d17f4573c857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572703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</w:rPr>
        <w:t>Поля формы добавления общей услуги</w:t>
      </w:r>
    </w:p>
    <w:tbl>
      <w:tblPr>
        <w:tblStyle w:val="ScrollTableNormal"/>
        <w:tblW w:w="5000" w:type="pct"/>
        <w:tblLook w:val="0020"/>
      </w:tblPr>
      <w:tblGrid>
        <w:gridCol w:w="2731"/>
        <w:gridCol w:w="1916"/>
        <w:gridCol w:w="311"/>
        <w:gridCol w:w="3529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 поля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Автоматическое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Вкладка "Услуга"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"Посещение"/"Движение"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6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 xml:space="preserve">Автозаполняемое </w:t>
            </w:r>
            <w:r>
              <w:rPr>
                <w:b/>
                <w:color w:val="000000"/>
              </w:rPr>
              <w:t>обязательное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Наименование поля зависит от места вызова формы (посещение случая АПЛ или движение из стационарного случая лечения)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"Дата/время начала" (выполнения)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6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Обязательные для заполнения поля.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 xml:space="preserve">Заполняются по умолчанию текущими временем и датой. При необходимости значения можно изменить (значения должны быть не позже текущих даты и времени): дату выберите в календаре, время введите вручную (в формате ЧЧ:ММ) или нажмите кнопку </w:t>
            </w:r>
            <w:r>
              <w:rPr>
                <w:color w:val="000000"/>
              </w:rPr>
              <w:drawing>
                <wp:inline>
                  <wp:extent cx="238125" cy="264583"/>
                  <wp:docPr id="100071" name="" descr="_scroll_external/attachments/image2021-4-19_10-39-7-67713024162dd854929a2646848c73ebfee3336bb8a028ea442b737e9e8f9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"Часы" для установки текущего времени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"Дата/время окончания" (выполнения)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7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Обязательные для заполнения поля.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 xml:space="preserve">Заполняются по умолчанию текущими временем и датой. В АРМ врача стационара данные поля откроются на просмотр в результате нажатия кнопки "Уточнить период выполнения". При необходимости значения можно изменить (значения должны быть не позже текущих даты и времени): дату выберите в календаре, время введите вручную (в формате ЧЧ:ММ) или нажмите кнопку </w:t>
            </w:r>
            <w:r>
              <w:rPr>
                <w:color w:val="000000"/>
              </w:rPr>
              <w:drawing>
                <wp:inline>
                  <wp:extent cx="238125" cy="264583"/>
                  <wp:docPr id="100075" name="" descr="_scroll_external/attachments/image2021-4-19_10-39-7-67713024162dd854929a2646848c73ebfee3336bb8a028ea442b737e9e8f9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6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"Часы" для установки текущего времени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"Место выполнения"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7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7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умолчанию установлено значение "1. Отделение ЛПУ". При необходимости измените, выбрав значение в выпадающем списке поля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"Отделение"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8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8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 xml:space="preserve">Обязательное для заполнения поле </w:t>
            </w:r>
            <w:r>
              <w:rPr>
                <w:color w:val="000000"/>
              </w:rPr>
              <w:t>и доступно для редактирования, если в поле "Место выполнения" указано значение "1. Отделение ЛПУ".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молчанию может быть заполнено отделением текущего врача, отделение, указанное в посещении АПЛ/движении случая стационарного лечения. Автоматически изменяется в зависимости от значения поля "Место выполнения"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"Профиль"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8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8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 xml:space="preserve">Обязательно для заполнения поле </w:t>
            </w:r>
            <w:r>
              <w:rPr>
                <w:color w:val="000000"/>
              </w:rPr>
              <w:t>и доступно для редактирования, если в поле "Вид оплаты" выбрано значение "ОМС" и в поле "Место выполнения" – значение "1. Отделение ЛПУ".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Если в поле "Место выполнения" указано значение "1. Отделение ЛПУ", автоматически может быть заполнено значением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"МО" (в АРМ врача поликлиники)/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"ЛПУ" (в АРМ врача стационара)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8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</w:t>
            </w:r>
            <w:r>
              <w:rPr>
                <w:color w:val="000000"/>
              </w:rPr>
              <w:t>, если в поле "Место выполнения" указано значение "2. Другое ЛПУ"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"Другая организация"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9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</w:t>
            </w:r>
            <w:r>
              <w:rPr>
                <w:color w:val="000000"/>
              </w:rPr>
              <w:t>, если в поле "Место выполнения" указано значение "3. Другая организация"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"Врач, выполнивший услугу"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("Код и Ф.И.О. врача")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9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9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 xml:space="preserve">Обязательное для заполнения поле, </w:t>
            </w:r>
            <w:r>
              <w:rPr>
                <w:color w:val="000000"/>
              </w:rPr>
              <w:t>если в поле "Место выполнения" указано значение "1. Отделение ЛПУ".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умолчанию указан текущий врач (врач, указанный в посещении АПЛ/движении случая стационарного лечения). При необходимости измените, выбрав значение в выпадающем списке поля.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Значение поля также зависит от поля "Отделение"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"Вид оплаты"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9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09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умолчанию задано значение "ОМС". При необходимости измените, выбрав значение в выпадающем списке поля.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Реестры счетов формируются по параклиническим услугам с видом оплаты "ОМС", услуги с другим видом оплаты не попадут в реестры счетов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"Назначение"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0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Укажите назначение (лабораторная диагностика/диагностическое исследование)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"Категория услуги"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0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0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умолчанию задано значение "ГОСТ". При необходимости измените, выбрав значение в выпадающем списке поля.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"Услуга"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Укажите наименование параклинической услуги (лабораторной/диагностической)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"Оборудование"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0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Поде может отобразиться, если была назначена функционально-диагностическая услуга/рентген/флюорография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"Тариф"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0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Выберите значение в выпадающем списке значений поля (общих тарифов на услугу)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"Цена"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1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Заполняется автоматически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"Количество"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1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1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 умолчанию будет предложено значение "1". При необходимости введите другое целое числовое значение (количество оказанных услуг)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"УЕТ"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1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Если поле доступно для редактирования, заполните его (при необходимости)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"Сумма (УЕТ)"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1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Заполняется автоматически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Вкладка "Осложнения"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В случае необходимости ввода информации по осложнениям нажмите ссылку "Добавить осложнение" (в АРМ врача поликлиники)/кнопку "Добавить" (в АРМ варча стационара) и заполните описанные ниже поля формы "Осложнение" и нажмите кнопку "ПРИМЕНИТЬ" (в АРМ врача поликлиники)/ "Сохранить" (в АРМ варча стационара)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"Дата/время" (осложнения)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2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23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Обязательные для заполнения полы.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 xml:space="preserve">Указываются дата и время осложнения, по умолчанию копируется с оказания услуги. При необходимости значения можно изменить (значения должны быть не позже текущих даты и времени): дату выберите в календаре, время введите вручную (в формате ЧЧ:ММ) или нажмите кнопку </w:t>
            </w:r>
            <w:r>
              <w:rPr>
                <w:color w:val="000000"/>
              </w:rPr>
              <w:drawing>
                <wp:inline>
                  <wp:extent cx="238125" cy="254000"/>
                  <wp:docPr id="100125" name="" descr="_scroll_external/attachments/image2021-5-3_18-19-10-e0720d2958042c6fc5db06773be24e4c7fa15a00edf5eb82e644723b9317a6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"Часы" для установки текущего времени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"Вид осложнения"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27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7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Выберите значение в выпадающем списке поля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"Контекст осложнения"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29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9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Обязательное для заполнения поле.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Выберите значение в выпадающем списке поля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Вкладка "Протокол"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31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Обязательно заполните вкладку "Протокол".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Заполните протокол.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Подпишите протокол электронной подписью, используя кнопку </w:t>
            </w:r>
            <w:r>
              <w:rPr>
                <w:color w:val="000000"/>
              </w:rPr>
              <w:drawing>
                <wp:inline>
                  <wp:extent cx="190500" cy="285750"/>
                  <wp:docPr id="100133" name="" descr="_scroll_external/attachments/image2021-4-22_21-47-8-5982589bdd164e46d262e5b8a2c140f1bb6107c28d7de9d261e6e3a1f64034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"Подписать документ"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  <w:color w:val="000000"/>
              </w:rPr>
              <w:t>Вкладка "Файл"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center"/>
              <w:outlineLvl w:val="9"/>
            </w:pPr>
            <w:r>
              <w:rPr>
                <w:color w:val="000000"/>
              </w:rPr>
              <w:drawing>
                <wp:inline>
                  <wp:extent cx="152435" cy="152435"/>
                  <wp:docPr id="100135" name="" descr="_scroll_external/icons/check-8c983f5e5f7b0ed1258bb4f1f97e7f8d420479d7ee02cf98512357742580cf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color w:val="000000"/>
              </w:rPr>
              <w:t>В случае необходимости прикрепления файла (например, результата диагностической услуги), нажмите ссылку "Добавить файл", загрузите со своего компьютера изображение и нажмите кнопку "Открыть"</w:t>
            </w:r>
          </w:p>
        </w:tc>
      </w:tr>
    </w:tbl>
    <w:p>
      <w:pPr>
        <w:numPr>
          <w:ilvl w:val="0"/>
          <w:numId w:val="37"/>
        </w:numPr>
      </w:pPr>
      <w:r>
        <w:rPr>
          <w:color w:val="000000"/>
        </w:rPr>
        <w:t>нажать кнопку "СОХРАНИТЬ".</w:t>
      </w:r>
    </w:p>
    <w:p>
      <w:r>
        <w:rPr>
          <w:color w:val="000000"/>
        </w:rPr>
        <w:t>В разделе "УСЛУГИ" ЭМК отобразится добавленная запись.</w:t>
      </w:r>
    </w:p>
    <w:p>
      <w:pPr>
        <w:pStyle w:val="Heading1"/>
      </w:pPr>
      <w:bookmarkStart w:id="8" w:name="scroll-bookmark-5"/>
      <w:bookmarkStart w:id="9" w:name="_Toc256000003"/>
      <w:r>
        <w:t>Лечебные, диагностические услуги</w:t>
      </w:r>
      <w:bookmarkEnd w:id="9"/>
      <w:bookmarkEnd w:id="8"/>
    </w:p>
    <w:p>
      <w:r>
        <w:rPr>
          <w:color w:val="172B4D"/>
        </w:rPr>
        <w:t xml:space="preserve">Для корректной выгрузки лечебных или диагностических услуг в реестр, в посещении должны быть заполнены поля, перечисленные в </w:t>
      </w:r>
      <w:hyperlink w:anchor="scroll-bookmark-3" w:history="1">
        <w:r>
          <w:rPr>
            <w:rStyle w:val="Hyperlink"/>
            <w:color w:val="172B4D"/>
          </w:rPr>
          <w:t>Параклинические услуги</w:t>
        </w:r>
      </w:hyperlink>
      <w:r>
        <w:rPr>
          <w:color w:val="172B4D"/>
        </w:rPr>
        <w:t xml:space="preserve"> за исключением полей:</w:t>
      </w:r>
    </w:p>
    <w:p>
      <w:pPr>
        <w:numPr>
          <w:ilvl w:val="0"/>
          <w:numId w:val="38"/>
        </w:numPr>
      </w:pPr>
      <w:r>
        <w:rPr>
          <w:color w:val="172B4D"/>
        </w:rPr>
        <w:t>Раздел "Услуги":</w:t>
      </w:r>
    </w:p>
    <w:p>
      <w:pPr>
        <w:numPr>
          <w:ilvl w:val="0"/>
          <w:numId w:val="38"/>
        </w:numPr>
      </w:pPr>
      <w:r>
        <w:t>Категория услуги - "2. Услуги ТФОМС";</w:t>
      </w:r>
    </w:p>
    <w:p>
      <w:pPr>
        <w:numPr>
          <w:ilvl w:val="0"/>
          <w:numId w:val="38"/>
        </w:numPr>
      </w:pPr>
      <w:r>
        <w:t>Услуга - услуги с кодом:</w:t>
      </w:r>
    </w:p>
    <w:p>
      <w:pPr>
        <w:numPr>
          <w:ilvl w:val="1"/>
          <w:numId w:val="39"/>
        </w:numPr>
      </w:pPr>
      <w:r>
        <w:t>для взрослых 100001-100282;</w:t>
      </w:r>
    </w:p>
    <w:p>
      <w:pPr>
        <w:numPr>
          <w:ilvl w:val="1"/>
          <w:numId w:val="39"/>
        </w:numPr>
      </w:pPr>
      <w:r>
        <w:t>для детей 010001-010067, 020001, 030001-030032, 040001-040014, 050001-050086, 060001-060070, 070001-070016, 080001-080014, 090001-090012.</w:t>
      </w:r>
    </w:p>
    <w:p>
      <w:pPr>
        <w:numPr>
          <w:ilvl w:val="0"/>
          <w:numId w:val="0"/>
        </w:numPr>
        <w:ind w:left="1440" w:hanging="360"/>
      </w:pPr>
    </w:p>
    <w:sectPr w:rsidSect="008B1C6A">
      <w:footerReference w:type="default" r:id="rId23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2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033515A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Лечебные, диагностические услуги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14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main</w:t>
    </w:r>
    <w:r w:rsidRPr="009D3DE2">
      <w:rPr>
        <w:sz w:val="18"/>
        <w:szCs w:val="18"/>
      </w:rPr>
      <w:t xml:space="preserve"> – </w:t>
    </w:r>
    <w:r w:rsidRPr="009D3DE2">
      <w:rPr>
        <w:sz w:val="18"/>
        <w:szCs w:val="18"/>
      </w:rPr>
      <w:t>Инструкция по формам ввода параклинических услуг Нижний Новгород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confluence.rtlabs.ru/pages/viewpage.action?pageId=231137108" TargetMode="External" /><Relationship Id="rId12" Type="http://schemas.openxmlformats.org/officeDocument/2006/relationships/image" Target="media/image1.png" /><Relationship Id="rId13" Type="http://schemas.openxmlformats.org/officeDocument/2006/relationships/image" Target="media/image2.png" /><Relationship Id="rId14" Type="http://schemas.openxmlformats.org/officeDocument/2006/relationships/image" Target="media/image3.svg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footer" Target="footer4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45</Words>
  <Characters>418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Apps 2</cp:lastModifiedBy>
  <cp:revision>111</cp:revision>
  <dcterms:created xsi:type="dcterms:W3CDTF">2016-10-04T14:03:00Z</dcterms:created>
  <dcterms:modified xsi:type="dcterms:W3CDTF">2021-07-12T13:38:00Z</dcterms:modified>
</cp:coreProperties>
</file>